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F0" w:rsidRPr="00F55C63" w:rsidRDefault="00590AD0" w:rsidP="00590AD0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F55C63">
        <w:rPr>
          <w:b/>
          <w:sz w:val="24"/>
          <w:szCs w:val="24"/>
        </w:rPr>
        <w:t>Dostępność</w:t>
      </w:r>
    </w:p>
    <w:p w:rsidR="00590AD0" w:rsidRPr="00F55C63" w:rsidRDefault="00590AD0" w:rsidP="00590AD0">
      <w:pPr>
        <w:shd w:val="clear" w:color="auto" w:fill="D9D9D9" w:themeFill="background1" w:themeFillShade="D9"/>
        <w:rPr>
          <w:rFonts w:cstheme="minorHAnsi"/>
          <w:b/>
          <w:color w:val="1414F4"/>
          <w:sz w:val="24"/>
          <w:szCs w:val="24"/>
        </w:rPr>
      </w:pPr>
      <w:r w:rsidRPr="00F55C63">
        <w:rPr>
          <w:rFonts w:cstheme="minorHAnsi"/>
          <w:b/>
          <w:color w:val="1414F4"/>
          <w:sz w:val="24"/>
          <w:szCs w:val="24"/>
        </w:rPr>
        <w:t>Wymogi ogólne</w:t>
      </w:r>
    </w:p>
    <w:p w:rsidR="00590AD0" w:rsidRPr="00F32F56" w:rsidRDefault="00590AD0" w:rsidP="00590AD0">
      <w:pPr>
        <w:spacing w:before="120" w:line="23" w:lineRule="atLeast"/>
        <w:jc w:val="both"/>
        <w:rPr>
          <w:rFonts w:cstheme="minorHAnsi"/>
          <w:sz w:val="24"/>
          <w:szCs w:val="24"/>
        </w:rPr>
      </w:pPr>
      <w:r w:rsidRPr="00F32F56">
        <w:rPr>
          <w:rFonts w:cstheme="minorHAnsi"/>
          <w:sz w:val="24"/>
          <w:szCs w:val="24"/>
        </w:rPr>
        <w:t>Zamawiający informuje, że kwestia zapewnienia wysokiego standardu dostępności WUF 11 dla osób z niepełnosprawnościami jest sprawą priorytetową i będzie egzekwowana przez Zamawiającego z najwyższą starannością.</w:t>
      </w:r>
    </w:p>
    <w:p w:rsidR="00590AD0" w:rsidRPr="00F32F56" w:rsidRDefault="00590AD0" w:rsidP="007951D2">
      <w:pPr>
        <w:spacing w:before="120" w:line="23" w:lineRule="atLeast"/>
        <w:rPr>
          <w:rFonts w:cstheme="minorHAnsi"/>
          <w:sz w:val="24"/>
          <w:szCs w:val="24"/>
        </w:rPr>
      </w:pPr>
      <w:r w:rsidRPr="00F32F56">
        <w:rPr>
          <w:rFonts w:cstheme="minorHAnsi"/>
          <w:sz w:val="24"/>
          <w:szCs w:val="24"/>
        </w:rPr>
        <w:t xml:space="preserve">W tym kontekście, obowiązkiem Wykonawcy będzie zapewnienie, aby wydarzenie w zakresie realizowanych przez niego zadań było dostępne dla osób z różnymi typami niepełnosprawności na poziomie określonym w rozporządzeniu Rady Ministrów z dnia 12 kwietnia 2012 r. w sprawie Krajowych Ram Interoperacyjności, minimalnych wymagań dla rejestrów publicznych i wymiany informacji w postaci elektronicznej oraz minimalnych wymagań dla systemów teleinformatycznych </w:t>
      </w:r>
      <w:r w:rsidRPr="00F32F56">
        <w:rPr>
          <w:rFonts w:cstheme="minorHAnsi"/>
          <w:sz w:val="24"/>
          <w:szCs w:val="24"/>
        </w:rPr>
        <w:br/>
        <w:t>(Dz. U. z 2017 r. poz. 2247).</w:t>
      </w:r>
    </w:p>
    <w:p w:rsidR="00590AD0" w:rsidRPr="00F32F56" w:rsidRDefault="00590AD0" w:rsidP="00590AD0">
      <w:pPr>
        <w:spacing w:before="120" w:line="23" w:lineRule="atLeast"/>
        <w:jc w:val="both"/>
        <w:rPr>
          <w:rFonts w:cstheme="minorHAnsi"/>
          <w:sz w:val="24"/>
          <w:szCs w:val="24"/>
        </w:rPr>
      </w:pPr>
      <w:r w:rsidRPr="00F32F56">
        <w:rPr>
          <w:rFonts w:cstheme="minorHAnsi"/>
          <w:sz w:val="24"/>
          <w:szCs w:val="24"/>
        </w:rPr>
        <w:t xml:space="preserve">Wykonawca zapozna się z „Raportem badania dostępności budynków Międzynarodowego Centrum Kongresowego w Katowicach i Hali widowiskowo-sportowej – Spodek” stanowiącym </w:t>
      </w:r>
      <w:r w:rsidRPr="00F32F56">
        <w:rPr>
          <w:rFonts w:cstheme="minorHAnsi"/>
          <w:b/>
          <w:color w:val="1414F4"/>
          <w:sz w:val="24"/>
          <w:szCs w:val="24"/>
        </w:rPr>
        <w:t>Załącznik nr 4</w:t>
      </w:r>
      <w:r w:rsidRPr="00F32F56">
        <w:rPr>
          <w:rFonts w:cstheme="minorHAnsi"/>
          <w:b/>
          <w:sz w:val="24"/>
          <w:szCs w:val="24"/>
        </w:rPr>
        <w:t xml:space="preserve"> do SOPZ</w:t>
      </w:r>
      <w:r w:rsidRPr="00F32F56">
        <w:rPr>
          <w:rFonts w:cstheme="minorHAnsi"/>
          <w:sz w:val="24"/>
          <w:szCs w:val="24"/>
        </w:rPr>
        <w:t xml:space="preserve"> opracowanego na zamówienie Zamawiającego przez spółdzielnię Socjalną FADO. Podczas realizacji zamówienia Wykonawca uwzględni rekomendacje przedstawione w Raporcie w zakresie dodatkowych dostosowań obiektu MCK oraz Hali Spodek do wymogów osób z niepełnosprawnościami. </w:t>
      </w:r>
    </w:p>
    <w:p w:rsidR="00590AD0" w:rsidRPr="00F32F56" w:rsidRDefault="00590AD0" w:rsidP="00590AD0">
      <w:pPr>
        <w:spacing w:before="120" w:after="120" w:line="23" w:lineRule="atLeast"/>
        <w:jc w:val="both"/>
        <w:rPr>
          <w:rFonts w:cstheme="minorHAnsi"/>
          <w:sz w:val="24"/>
          <w:szCs w:val="24"/>
        </w:rPr>
      </w:pPr>
      <w:r w:rsidRPr="00F32F56">
        <w:rPr>
          <w:rFonts w:cstheme="minorHAnsi"/>
          <w:sz w:val="24"/>
          <w:szCs w:val="24"/>
        </w:rPr>
        <w:t xml:space="preserve">Dodatkowo, przed procedurą sprawdzenia stanu gotowości przed WUF 11 (o której mowa w punkcie 9) nie później jednak </w:t>
      </w:r>
      <w:r w:rsidRPr="00F32F56">
        <w:rPr>
          <w:rFonts w:cstheme="minorHAnsi"/>
          <w:sz w:val="24"/>
          <w:szCs w:val="24"/>
          <w:u w:val="single"/>
        </w:rPr>
        <w:t>niż do dnia 19 czerwca 2022 r.,</w:t>
      </w:r>
      <w:r w:rsidRPr="00F32F56">
        <w:rPr>
          <w:rFonts w:cstheme="minorHAnsi"/>
          <w:sz w:val="24"/>
          <w:szCs w:val="24"/>
        </w:rPr>
        <w:t xml:space="preserve"> na zlecenie Zamawiającego zintegrowany obiekt konferencyjny WUF 11 </w:t>
      </w:r>
      <w:bookmarkStart w:id="0" w:name="_GoBack"/>
      <w:bookmarkEnd w:id="0"/>
      <w:r w:rsidRPr="00F32F56">
        <w:rPr>
          <w:rFonts w:cstheme="minorHAnsi"/>
          <w:sz w:val="24"/>
          <w:szCs w:val="24"/>
        </w:rPr>
        <w:t>wraz ze strefą eksterytorialną, zostanie poddany kolejnemu badaniu dostępności w zakresie adaptacji obiektu WUF 11 do wymogów osób z niepełnosprawnościami. W przypadku stwierdzenia istnienia jakichkolwiek barier w dostępności obiektu konferencyjnego WUF 11, wynikających z realizacji niniejszego zamówienia, Wykonawca będzie zobowiązany do ich niezwłocznego usunięcia.</w:t>
      </w:r>
    </w:p>
    <w:p w:rsidR="00590AD0" w:rsidRPr="00F55C63" w:rsidRDefault="00590AD0" w:rsidP="00590AD0">
      <w:pPr>
        <w:spacing w:before="120" w:after="120" w:line="23" w:lineRule="atLeast"/>
        <w:jc w:val="both"/>
        <w:rPr>
          <w:rFonts w:cstheme="minorHAnsi"/>
          <w:b/>
          <w:sz w:val="24"/>
          <w:szCs w:val="24"/>
        </w:rPr>
      </w:pPr>
    </w:p>
    <w:p w:rsidR="00590AD0" w:rsidRPr="00F55C63" w:rsidRDefault="00F7629C" w:rsidP="00590AD0">
      <w:pPr>
        <w:shd w:val="clear" w:color="auto" w:fill="D9D9D9" w:themeFill="background1" w:themeFillShade="D9"/>
        <w:spacing w:before="120" w:after="120" w:line="23" w:lineRule="atLeast"/>
        <w:jc w:val="both"/>
        <w:rPr>
          <w:rFonts w:cstheme="minorHAnsi"/>
          <w:b/>
          <w:color w:val="1414F4"/>
          <w:sz w:val="24"/>
          <w:szCs w:val="24"/>
        </w:rPr>
      </w:pPr>
      <w:r w:rsidRPr="00F55C63">
        <w:rPr>
          <w:rFonts w:cstheme="minorHAnsi"/>
          <w:b/>
          <w:color w:val="1414F4"/>
          <w:sz w:val="24"/>
          <w:szCs w:val="24"/>
        </w:rPr>
        <w:t>Opis szczegółowy pozycji w formularzu wyceny</w:t>
      </w:r>
    </w:p>
    <w:p w:rsidR="00F7629C" w:rsidRPr="00F32F56" w:rsidRDefault="00F7629C" w:rsidP="00590AD0">
      <w:pPr>
        <w:rPr>
          <w:sz w:val="24"/>
          <w:szCs w:val="24"/>
        </w:rPr>
      </w:pPr>
    </w:p>
    <w:p w:rsidR="00F55C63" w:rsidRDefault="00F32F56" w:rsidP="00F55C63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Montaż systemu TG</w:t>
      </w:r>
      <w:r w:rsidR="00F34294">
        <w:rPr>
          <w:b/>
          <w:sz w:val="24"/>
          <w:szCs w:val="24"/>
        </w:rPr>
        <w:t xml:space="preserve">SI </w:t>
      </w:r>
      <w:r w:rsidR="009F0CC0">
        <w:rPr>
          <w:b/>
          <w:sz w:val="24"/>
          <w:szCs w:val="24"/>
        </w:rPr>
        <w:t xml:space="preserve"> oraz systemu nawigacji bezprzewodowej (np. Totupoint) </w:t>
      </w:r>
      <w:r w:rsidR="00F34294">
        <w:rPr>
          <w:b/>
          <w:sz w:val="24"/>
          <w:szCs w:val="24"/>
        </w:rPr>
        <w:t>do parkingów i przystanku komunikacji miejskiej Katowice Rondo,</w:t>
      </w:r>
    </w:p>
    <w:p w:rsidR="00F34294" w:rsidRPr="00F34294" w:rsidRDefault="00F34294" w:rsidP="00F34294">
      <w:pPr>
        <w:rPr>
          <w:sz w:val="24"/>
          <w:szCs w:val="24"/>
        </w:rPr>
      </w:pPr>
      <w:r>
        <w:rPr>
          <w:sz w:val="24"/>
          <w:szCs w:val="24"/>
        </w:rPr>
        <w:t>Należy zamontować system TGSI – wypukłe oznaczenia dla osób słabowidzących lub niewidomych – ułatwiające poruszanie się na otwartych przestrzeniach bez punktów orientacyjnych, takich jak plac Sławika i Antalla (przed MCK). System TGSI musi być zamontowany w taki sposób, aby nie ingerować w powierzchnię placu/chodnika (np. przyklejony na istniejące powierzchnie) oraz usunięty bez pozostawienia śladów jego montażu.</w:t>
      </w:r>
    </w:p>
    <w:p w:rsidR="00F17ED4" w:rsidRPr="00F17ED4" w:rsidRDefault="00F17ED4" w:rsidP="00F17ED4">
      <w:pPr>
        <w:jc w:val="both"/>
        <w:rPr>
          <w:rFonts w:ascii="Calibri" w:hAnsi="Calibri"/>
          <w:sz w:val="24"/>
          <w:szCs w:val="24"/>
        </w:rPr>
      </w:pPr>
    </w:p>
    <w:p w:rsidR="00F17ED4" w:rsidRDefault="00F17ED4" w:rsidP="00F32F56">
      <w:pPr>
        <w:pStyle w:val="Akapitzlist"/>
        <w:spacing w:after="120"/>
        <w:ind w:left="0"/>
        <w:jc w:val="both"/>
        <w:rPr>
          <w:rFonts w:ascii="Calibri" w:hAnsi="Calibri"/>
          <w:sz w:val="24"/>
          <w:szCs w:val="24"/>
        </w:rPr>
      </w:pPr>
    </w:p>
    <w:p w:rsidR="005852F5" w:rsidRDefault="005852F5" w:rsidP="005852F5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F34294" w:rsidRDefault="00F34294" w:rsidP="005852F5">
      <w:pPr>
        <w:pStyle w:val="Akapitzlist"/>
        <w:numPr>
          <w:ilvl w:val="0"/>
          <w:numId w:val="5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Wideotłumacz PJM i ISL do punktu obsługi</w:t>
      </w:r>
    </w:p>
    <w:p w:rsidR="00F34294" w:rsidRDefault="00F34294" w:rsidP="00F3429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Wykupienie usługi wideotłumaczy, znających polski język migowy oraz międzynarodowy język migowy, jest konieczne dla zapewnienia łatwego kontaktu osób głuchych z osobami pracującymi w punkcie obsługi. Dodatkowo należy z</w:t>
      </w:r>
      <w:r w:rsidR="009F0CC0">
        <w:rPr>
          <w:sz w:val="24"/>
          <w:szCs w:val="24"/>
        </w:rPr>
        <w:t>apewnić tablet, poprzez który będzie możliwe korzystanie z wideo połączeń z tłumaczem.</w:t>
      </w:r>
    </w:p>
    <w:p w:rsidR="009F0CC0" w:rsidRPr="00F34294" w:rsidRDefault="009F0CC0" w:rsidP="00F34294">
      <w:pPr>
        <w:spacing w:after="0" w:line="240" w:lineRule="auto"/>
        <w:jc w:val="both"/>
        <w:rPr>
          <w:sz w:val="24"/>
          <w:szCs w:val="24"/>
        </w:rPr>
      </w:pPr>
    </w:p>
    <w:p w:rsidR="005852F5" w:rsidRDefault="005852F5" w:rsidP="005852F5">
      <w:pPr>
        <w:pStyle w:val="Akapitzlist"/>
        <w:numPr>
          <w:ilvl w:val="0"/>
          <w:numId w:val="5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Przenośna pę</w:t>
      </w:r>
      <w:r w:rsidRPr="005852F5">
        <w:rPr>
          <w:b/>
          <w:sz w:val="24"/>
          <w:szCs w:val="24"/>
        </w:rPr>
        <w:t>tla indukcyjna do punktu obsługi</w:t>
      </w:r>
    </w:p>
    <w:p w:rsidR="00F17ED4" w:rsidRDefault="00F17ED4" w:rsidP="00F17ED4">
      <w:pPr>
        <w:spacing w:after="0" w:line="240" w:lineRule="auto"/>
        <w:jc w:val="both"/>
        <w:rPr>
          <w:b/>
          <w:sz w:val="24"/>
          <w:szCs w:val="24"/>
        </w:rPr>
      </w:pPr>
    </w:p>
    <w:p w:rsidR="00F17ED4" w:rsidRPr="00F17ED4" w:rsidRDefault="00F17ED4" w:rsidP="00F17ED4">
      <w:pPr>
        <w:pStyle w:val="zalecenia"/>
        <w:ind w:left="0"/>
        <w:jc w:val="both"/>
        <w:rPr>
          <w:rFonts w:ascii="Calibri" w:eastAsiaTheme="minorHAnsi" w:hAnsi="Calibri" w:cstheme="minorBidi"/>
          <w:kern w:val="0"/>
          <w:lang w:eastAsia="en-US" w:bidi="ar-SA"/>
        </w:rPr>
      </w:pPr>
      <w:r w:rsidRPr="00F17ED4">
        <w:rPr>
          <w:rFonts w:ascii="Calibri" w:eastAsiaTheme="minorHAnsi" w:hAnsi="Calibri" w:cstheme="minorBidi"/>
          <w:kern w:val="0"/>
          <w:lang w:eastAsia="en-US" w:bidi="ar-SA"/>
        </w:rPr>
        <w:t>Punkt obsługi powinien byś wyposażony w przenośną pętlę indukcyjną. Pętla indukcyjna to specjalny typ systemu dźwiękowego dla osób z aparatami słuchowymi. System ten stanowi specjalnie zaprojektowana i zainstalowana pętla wysyłająca za pośrednictwem fal elektromagnetycznych bezprzewodowo sygnał, który jest odbierany przez aparat słuchowy, gdy jest on ustawiony na pracę w trybie „T”.</w:t>
      </w:r>
    </w:p>
    <w:p w:rsidR="00F17ED4" w:rsidRPr="00F17ED4" w:rsidRDefault="00F17ED4" w:rsidP="00F17ED4">
      <w:pPr>
        <w:spacing w:after="0" w:line="240" w:lineRule="auto"/>
        <w:jc w:val="both"/>
        <w:rPr>
          <w:b/>
          <w:sz w:val="24"/>
          <w:szCs w:val="24"/>
        </w:rPr>
      </w:pPr>
    </w:p>
    <w:p w:rsidR="005852F5" w:rsidRDefault="005852F5" w:rsidP="005852F5">
      <w:pPr>
        <w:pStyle w:val="Akapitzlist"/>
        <w:numPr>
          <w:ilvl w:val="0"/>
          <w:numId w:val="5"/>
        </w:numPr>
        <w:spacing w:after="0" w:line="240" w:lineRule="auto"/>
        <w:jc w:val="both"/>
        <w:rPr>
          <w:b/>
          <w:sz w:val="24"/>
          <w:szCs w:val="24"/>
        </w:rPr>
      </w:pPr>
      <w:r w:rsidRPr="005852F5">
        <w:rPr>
          <w:b/>
          <w:sz w:val="24"/>
          <w:szCs w:val="24"/>
        </w:rPr>
        <w:t>Podnośnik nożycowy lub propozycja innego rozwiązania (schody na scenę w audytorium)</w:t>
      </w:r>
    </w:p>
    <w:p w:rsidR="00F17ED4" w:rsidRDefault="00F17ED4" w:rsidP="00F17ED4">
      <w:pPr>
        <w:spacing w:after="0" w:line="240" w:lineRule="auto"/>
        <w:jc w:val="both"/>
        <w:rPr>
          <w:b/>
          <w:sz w:val="24"/>
          <w:szCs w:val="24"/>
        </w:rPr>
      </w:pPr>
    </w:p>
    <w:p w:rsidR="00F17ED4" w:rsidRPr="00F17ED4" w:rsidRDefault="00F17ED4" w:rsidP="00F17ED4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17ED4">
        <w:rPr>
          <w:rFonts w:ascii="Calibri" w:hAnsi="Calibri"/>
          <w:sz w:val="24"/>
          <w:szCs w:val="24"/>
        </w:rPr>
        <w:t>Należy zamontować podnośnik nożycowy</w:t>
      </w:r>
      <w:r>
        <w:rPr>
          <w:rFonts w:ascii="Calibri" w:hAnsi="Calibri"/>
          <w:sz w:val="24"/>
          <w:szCs w:val="24"/>
        </w:rPr>
        <w:t xml:space="preserve"> (lub alternatywne rozwiązanie)</w:t>
      </w:r>
      <w:r w:rsidRPr="00F17ED4">
        <w:rPr>
          <w:rFonts w:ascii="Calibri" w:hAnsi="Calibri"/>
          <w:sz w:val="24"/>
          <w:szCs w:val="24"/>
        </w:rPr>
        <w:t xml:space="preserve"> w przynajmniej jednych schodach prowadzących na scenę – żeby umożliwić wejście na nią osobie na wózku.</w:t>
      </w:r>
    </w:p>
    <w:p w:rsidR="005852F5" w:rsidRDefault="005852F5" w:rsidP="005852F5">
      <w:pPr>
        <w:pStyle w:val="Akapitzlist"/>
        <w:spacing w:after="0" w:line="240" w:lineRule="auto"/>
        <w:jc w:val="both"/>
        <w:rPr>
          <w:b/>
          <w:sz w:val="24"/>
          <w:szCs w:val="24"/>
        </w:rPr>
      </w:pPr>
    </w:p>
    <w:p w:rsidR="005852F5" w:rsidRPr="005852F5" w:rsidRDefault="005852F5" w:rsidP="005852F5">
      <w:pPr>
        <w:spacing w:after="0" w:line="240" w:lineRule="auto"/>
        <w:jc w:val="both"/>
        <w:rPr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011C77C0" wp14:editId="3C2AA65D">
            <wp:extent cx="2527300" cy="1895475"/>
            <wp:effectExtent l="0" t="7938" r="0" b="0"/>
            <wp:docPr id="47" name="Obraz 47" descr="schody na scen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Obraz 47" descr="schody na scenę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533116" cy="1899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2F5" w:rsidRPr="005852F5" w:rsidRDefault="005852F5" w:rsidP="005852F5">
      <w:pPr>
        <w:spacing w:after="120"/>
        <w:jc w:val="both"/>
        <w:rPr>
          <w:rFonts w:ascii="Calibri" w:hAnsi="Calibri"/>
          <w:sz w:val="24"/>
          <w:szCs w:val="24"/>
        </w:rPr>
      </w:pPr>
    </w:p>
    <w:p w:rsidR="00F32F56" w:rsidRDefault="00F32F56" w:rsidP="00F32F56">
      <w:pPr>
        <w:pStyle w:val="Akapitzlist"/>
        <w:spacing w:after="120"/>
        <w:ind w:left="0"/>
        <w:jc w:val="both"/>
        <w:rPr>
          <w:rFonts w:ascii="Calibri" w:hAnsi="Calibri"/>
          <w:sz w:val="24"/>
          <w:szCs w:val="24"/>
        </w:rPr>
      </w:pPr>
    </w:p>
    <w:p w:rsidR="00F32F56" w:rsidRPr="00F32F56" w:rsidRDefault="00F32F56" w:rsidP="00F32F56">
      <w:pPr>
        <w:spacing w:after="120"/>
        <w:jc w:val="both"/>
        <w:rPr>
          <w:rFonts w:ascii="Calibri" w:hAnsi="Calibri"/>
          <w:sz w:val="24"/>
          <w:szCs w:val="24"/>
        </w:rPr>
      </w:pPr>
    </w:p>
    <w:p w:rsidR="00F32F56" w:rsidRPr="00F32F56" w:rsidRDefault="00F32F56" w:rsidP="00F32F56">
      <w:pPr>
        <w:spacing w:after="120"/>
        <w:rPr>
          <w:rFonts w:ascii="Calibri" w:hAnsi="Calibri"/>
          <w:sz w:val="24"/>
          <w:szCs w:val="24"/>
        </w:rPr>
      </w:pPr>
    </w:p>
    <w:p w:rsidR="00F32F56" w:rsidRPr="00F32F56" w:rsidRDefault="00F32F56" w:rsidP="00F32F56">
      <w:pPr>
        <w:rPr>
          <w:sz w:val="24"/>
          <w:szCs w:val="24"/>
        </w:rPr>
      </w:pPr>
    </w:p>
    <w:sectPr w:rsidR="00F32F56" w:rsidRPr="00F32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67B2B"/>
    <w:multiLevelType w:val="hybridMultilevel"/>
    <w:tmpl w:val="94DE7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E0EE2"/>
    <w:multiLevelType w:val="hybridMultilevel"/>
    <w:tmpl w:val="D4B25262"/>
    <w:lvl w:ilvl="0" w:tplc="66B806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E7F5C"/>
    <w:multiLevelType w:val="hybridMultilevel"/>
    <w:tmpl w:val="B21ED318"/>
    <w:lvl w:ilvl="0" w:tplc="85E8B4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E77A9B"/>
    <w:multiLevelType w:val="hybridMultilevel"/>
    <w:tmpl w:val="6270B8DC"/>
    <w:lvl w:ilvl="0" w:tplc="8C341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27690C"/>
    <w:multiLevelType w:val="hybridMultilevel"/>
    <w:tmpl w:val="CC9E5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AAA"/>
    <w:rsid w:val="004840D6"/>
    <w:rsid w:val="005852F5"/>
    <w:rsid w:val="00590AD0"/>
    <w:rsid w:val="007951D2"/>
    <w:rsid w:val="008C38E4"/>
    <w:rsid w:val="009F0CC0"/>
    <w:rsid w:val="00A265F0"/>
    <w:rsid w:val="00CC4596"/>
    <w:rsid w:val="00DC5AAA"/>
    <w:rsid w:val="00F17ED4"/>
    <w:rsid w:val="00F32F56"/>
    <w:rsid w:val="00F34294"/>
    <w:rsid w:val="00F55C63"/>
    <w:rsid w:val="00F7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90AD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590AD0"/>
  </w:style>
  <w:style w:type="paragraph" w:styleId="Tekstkomentarza">
    <w:name w:val="annotation text"/>
    <w:basedOn w:val="Normalny"/>
    <w:link w:val="TekstkomentarzaZnak"/>
    <w:uiPriority w:val="99"/>
    <w:rsid w:val="00590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A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0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AD0"/>
    <w:rPr>
      <w:rFonts w:ascii="Tahoma" w:hAnsi="Tahoma" w:cs="Tahoma"/>
      <w:sz w:val="16"/>
      <w:szCs w:val="16"/>
    </w:rPr>
  </w:style>
  <w:style w:type="paragraph" w:customStyle="1" w:styleId="zalecenia">
    <w:name w:val="zalecenia"/>
    <w:basedOn w:val="Akapitzlist"/>
    <w:rsid w:val="00F17ED4"/>
    <w:pPr>
      <w:suppressAutoHyphens/>
      <w:autoSpaceDN w:val="0"/>
      <w:spacing w:before="120" w:after="120" w:line="240" w:lineRule="auto"/>
      <w:contextualSpacing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596"/>
    <w:pPr>
      <w:spacing w:after="200"/>
    </w:pPr>
    <w:rPr>
      <w:rFonts w:asciiTheme="minorHAnsi" w:eastAsiaTheme="minorHAnsi" w:hAnsiTheme="minorHAnsi" w:cstheme="minorBidi"/>
      <w:b/>
      <w:bCs/>
      <w:sz w:val="20"/>
      <w:szCs w:val="20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59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90AD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590AD0"/>
  </w:style>
  <w:style w:type="paragraph" w:styleId="Tekstkomentarza">
    <w:name w:val="annotation text"/>
    <w:basedOn w:val="Normalny"/>
    <w:link w:val="TekstkomentarzaZnak"/>
    <w:uiPriority w:val="99"/>
    <w:rsid w:val="00590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A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0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AD0"/>
    <w:rPr>
      <w:rFonts w:ascii="Tahoma" w:hAnsi="Tahoma" w:cs="Tahoma"/>
      <w:sz w:val="16"/>
      <w:szCs w:val="16"/>
    </w:rPr>
  </w:style>
  <w:style w:type="paragraph" w:customStyle="1" w:styleId="zalecenia">
    <w:name w:val="zalecenia"/>
    <w:basedOn w:val="Akapitzlist"/>
    <w:rsid w:val="00F17ED4"/>
    <w:pPr>
      <w:suppressAutoHyphens/>
      <w:autoSpaceDN w:val="0"/>
      <w:spacing w:before="120" w:after="120" w:line="240" w:lineRule="auto"/>
      <w:contextualSpacing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596"/>
    <w:pPr>
      <w:spacing w:after="200"/>
    </w:pPr>
    <w:rPr>
      <w:rFonts w:asciiTheme="minorHAnsi" w:eastAsiaTheme="minorHAnsi" w:hAnsiTheme="minorHAnsi" w:cstheme="minorBidi"/>
      <w:b/>
      <w:bCs/>
      <w:sz w:val="20"/>
      <w:szCs w:val="20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59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Ferenz</dc:creator>
  <cp:keywords/>
  <dc:description/>
  <cp:lastModifiedBy>Anna Dmitrowicz-Kaliciak</cp:lastModifiedBy>
  <cp:revision>10</cp:revision>
  <dcterms:created xsi:type="dcterms:W3CDTF">2021-07-09T09:55:00Z</dcterms:created>
  <dcterms:modified xsi:type="dcterms:W3CDTF">2021-07-15T13:59:00Z</dcterms:modified>
</cp:coreProperties>
</file>